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5A" w:rsidRPr="000D295A" w:rsidRDefault="000D295A" w:rsidP="000D295A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53"/>
          <w:szCs w:val="53"/>
          <w:lang w:eastAsia="ru-RU"/>
        </w:rPr>
      </w:pPr>
      <w:r w:rsidRPr="000D295A">
        <w:rPr>
          <w:rFonts w:ascii="Times New Roman" w:eastAsia="Times New Roman" w:hAnsi="Times New Roman" w:cs="Times New Roman"/>
          <w:b/>
          <w:color w:val="FF0000"/>
          <w:sz w:val="53"/>
          <w:szCs w:val="53"/>
          <w:lang w:eastAsia="ru-RU"/>
        </w:rPr>
        <w:t xml:space="preserve">Правила </w:t>
      </w:r>
      <w:proofErr w:type="spellStart"/>
      <w:r w:rsidRPr="000D295A">
        <w:rPr>
          <w:rFonts w:ascii="Times New Roman" w:eastAsia="Times New Roman" w:hAnsi="Times New Roman" w:cs="Times New Roman"/>
          <w:b/>
          <w:color w:val="FF0000"/>
          <w:sz w:val="53"/>
          <w:szCs w:val="53"/>
          <w:lang w:eastAsia="ru-RU"/>
        </w:rPr>
        <w:t>безпеки</w:t>
      </w:r>
      <w:proofErr w:type="spellEnd"/>
      <w:r w:rsidRPr="000D295A">
        <w:rPr>
          <w:rFonts w:ascii="Times New Roman" w:eastAsia="Times New Roman" w:hAnsi="Times New Roman" w:cs="Times New Roman"/>
          <w:b/>
          <w:color w:val="FF0000"/>
          <w:sz w:val="53"/>
          <w:szCs w:val="53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color w:val="FF0000"/>
          <w:sz w:val="53"/>
          <w:szCs w:val="53"/>
          <w:lang w:eastAsia="ru-RU"/>
        </w:rPr>
        <w:t>громадян</w:t>
      </w:r>
      <w:proofErr w:type="spellEnd"/>
      <w:r w:rsidRPr="000D295A">
        <w:rPr>
          <w:rFonts w:ascii="Times New Roman" w:eastAsia="Times New Roman" w:hAnsi="Times New Roman" w:cs="Times New Roman"/>
          <w:b/>
          <w:color w:val="FF0000"/>
          <w:sz w:val="53"/>
          <w:szCs w:val="53"/>
          <w:lang w:eastAsia="ru-RU"/>
        </w:rPr>
        <w:t xml:space="preserve"> на </w:t>
      </w:r>
      <w:proofErr w:type="spellStart"/>
      <w:r w:rsidRPr="000D295A">
        <w:rPr>
          <w:rFonts w:ascii="Times New Roman" w:eastAsia="Times New Roman" w:hAnsi="Times New Roman" w:cs="Times New Roman"/>
          <w:b/>
          <w:color w:val="FF0000"/>
          <w:sz w:val="53"/>
          <w:szCs w:val="53"/>
          <w:lang w:eastAsia="ru-RU"/>
        </w:rPr>
        <w:t>залізничному</w:t>
      </w:r>
      <w:proofErr w:type="spellEnd"/>
      <w:r w:rsidRPr="000D295A">
        <w:rPr>
          <w:rFonts w:ascii="Times New Roman" w:eastAsia="Times New Roman" w:hAnsi="Times New Roman" w:cs="Times New Roman"/>
          <w:b/>
          <w:color w:val="FF0000"/>
          <w:sz w:val="53"/>
          <w:szCs w:val="53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color w:val="FF0000"/>
          <w:sz w:val="53"/>
          <w:szCs w:val="53"/>
          <w:lang w:eastAsia="ru-RU"/>
        </w:rPr>
        <w:t>транспорті</w:t>
      </w:r>
      <w:proofErr w:type="spellEnd"/>
    </w:p>
    <w:p w:rsidR="000D295A" w:rsidRPr="000D295A" w:rsidRDefault="000D295A" w:rsidP="000D295A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1.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Загальні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положення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Правила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залізничному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надалі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Правила)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залізничні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пасажирських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платформах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потягах.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1.2. Особи,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порушують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несуть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чинним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2. Правила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безпеки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ішоходів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2.1.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ішоходам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дозволяється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залізничні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тільки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пішохідні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мости, переходи,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тунелі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переїзди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станціях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нема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мостів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тунелів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належить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залізничні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місцях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обладнаних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спеціальними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настилами,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покажчики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2.2. Перед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увійти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небезпечну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зону (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колію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потрібно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впевнитись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відсутності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потяга (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локомотива, вагона,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дрезини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наближенні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потяга до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перону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платформи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слідкувати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звуковими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сигналами,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подаються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локомотиву,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моторвагонного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складу,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рухається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іального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самохідного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рухомого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складу,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уважно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слухати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повідомлення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передаються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гучномовному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2.3. При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наближенні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потяга (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локомотива, вагона,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дрезини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треба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зупинитись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поза межами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небезпечної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пропустити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впевнившись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відсутності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рухомого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складу,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пересувається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сусідніх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коліях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2.4.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Наближаючись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залізничного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переїзду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уважно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стежити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ітловою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звуковою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сигналізацією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положенням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шлагбаумів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дозволяється</w:t>
      </w:r>
      <w:proofErr w:type="spellEnd"/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тільки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відкритому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шлагбаумів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відсутності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шлагбаума (коли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переїзд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охороняється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перед переходом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впевнитись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переїзду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наближається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потяг (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локомотив, вагон, дрезина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ішоходам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забороняється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 xml:space="preserve">2.5.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Ходити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залізничних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коліях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наближатися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до них на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відстань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менше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п'яти</w:t>
      </w:r>
      <w:proofErr w:type="spellEnd"/>
      <w:proofErr w:type="gram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метрів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 xml:space="preserve">2.6.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Переходити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перебігати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через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залізничні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колії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перед потягом (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або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локомотивом, вагоном, дрезиною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тощо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),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що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наближається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якщо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до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нього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залишилося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менше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ніж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400 м.</w:t>
      </w:r>
      <w:r w:rsidRPr="000D29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колію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зразу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проходу потяга (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локомотива, вагона,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дрезини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не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впевнившись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сусідніх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коліях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пересувається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рухомий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склад.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2.8.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переїздити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залізничні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закритому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шлагбаума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червоному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ітлі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світлофора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звуковому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сигналі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переїзної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сигналізації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2.9.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станціях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перегонах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пролізати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вагонами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перелізати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автозчепи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переходу через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колію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2.10.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залізничних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мостах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тунелях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обладнаних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спеціальними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настилами для проходу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ішоходів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2.11.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Пролізати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закритим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шлагбаумом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залізничному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переїзді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переїзд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коли шлагбаум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починає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закриватися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2.12.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електрифікованих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лініях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ідніматися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опори, 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торкатися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металевих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заземлення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ідуть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опори до рейки.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2.13.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Наближатися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електропроводу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лежить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ближче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10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2.14.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ідніматись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дахи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потягів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локомотивів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вагонів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конструкції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мостів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освітлювальних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вишок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2.15.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рейки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залізничної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будь-як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2.16.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ближче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0,5 метра до краю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платформи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оголошення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подачу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прибуття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потяга до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зупинки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2.17. Обходить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вагони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стоять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відстані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менше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п’яти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крайнього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вагона.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2.18.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поміж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роз’єднаними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вагонами,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стоять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відстань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менше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десяти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2.19.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Сиді</w:t>
      </w:r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краю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посадочної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платформи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перону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2.20.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Знаходитись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об’єктах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залізничного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транспорту в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алкогольного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сп’яніння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2.21.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особисті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краю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платформи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перону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3. Правила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безпеки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пасажирів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ідніматися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вагон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дозволяється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тільки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зупинки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потяга.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3.2. Посадку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пасажирі</w:t>
      </w:r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тільки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боку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перонів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посадочних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платформ.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посадки у вагон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висадки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тримати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руку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руках.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3.3.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вагона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зупинки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тільки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дозволу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провідника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Пасажирам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забороняється</w:t>
      </w:r>
      <w:proofErr w:type="spellEnd"/>
      <w:r w:rsidRPr="000D29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0D29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Проїжджати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дахах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ідніжках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перехідних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площадках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вагонів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3.5.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вагон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вагона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руху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потяга.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3.6.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Висуватися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вікон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вагонів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дверей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тамбурів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руху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потягів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викидати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пляшки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кульки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вікон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дверей вагона.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3.7.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ідніжках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перехідних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площадках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вагонів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самостійно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відчиняти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двері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вагонів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руху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зупинці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потягу,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затримувати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двері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вагонів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зачинення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відчинення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3.8.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Проїжджати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вантажних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потягах </w:t>
      </w:r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спеціального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дозволу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3.9.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Знаходитись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потязі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нетверезому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3.10.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вокзалах,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пасажирських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платформах та в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потязі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3.11.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Провозити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вагонах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легкозаймисті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шкідливі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вибухові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речовини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3.12.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вагона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міжколійя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знаходитись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руху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потяга.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3.13.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Стрибати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платформи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залізничні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колії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3.14.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вагонах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тому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тамбурах)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приміських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потягів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3.15.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Бігти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платформі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поруч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вагоном потяга,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прибуває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відходить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ближче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краю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платформи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проходу потяга без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зупинки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3.16.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ідходити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вагону до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повної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зупинки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потяга.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3.17. </w:t>
      </w:r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потреби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самовільно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зупиняти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потяг.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3.18.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Самостійно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перевозити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ручну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поклажу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засобами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перевезення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багажу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працівниками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залізниці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3.19.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Розміщувати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ручну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поклажу в тамбурах вагона,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коридорі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салону, проходах купе та в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вагону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приміського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потяга.</w:t>
      </w:r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3.20.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Забруднювати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тамбури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засмічувати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ідлогу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сидіння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вагонів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3.21.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Демонтувати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обладнання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вагонів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псувати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оббивку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диванів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сидінь</w:t>
      </w:r>
      <w:proofErr w:type="spellEnd"/>
      <w:r w:rsidRPr="000D29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F0564" w:rsidRPr="000D295A" w:rsidRDefault="008F0564">
      <w:pPr>
        <w:rPr>
          <w:rFonts w:ascii="Times New Roman" w:hAnsi="Times New Roman" w:cs="Times New Roman"/>
        </w:rPr>
      </w:pPr>
    </w:p>
    <w:sectPr w:rsidR="008F0564" w:rsidRPr="000D295A" w:rsidSect="000D295A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295A"/>
    <w:rsid w:val="000D295A"/>
    <w:rsid w:val="001F0225"/>
    <w:rsid w:val="00280F28"/>
    <w:rsid w:val="005946CA"/>
    <w:rsid w:val="008F0564"/>
    <w:rsid w:val="0091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64"/>
  </w:style>
  <w:style w:type="paragraph" w:styleId="2">
    <w:name w:val="heading 2"/>
    <w:basedOn w:val="a"/>
    <w:link w:val="20"/>
    <w:uiPriority w:val="9"/>
    <w:qFormat/>
    <w:rsid w:val="000D2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2022-01-18T06:55:00Z</dcterms:created>
  <dcterms:modified xsi:type="dcterms:W3CDTF">2022-01-18T06:58:00Z</dcterms:modified>
</cp:coreProperties>
</file>